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555D" w14:textId="77777777" w:rsidR="00896A16" w:rsidRPr="002124AF" w:rsidRDefault="00896A16" w:rsidP="00FE6CCA">
      <w:pPr>
        <w:spacing w:after="120" w:line="240" w:lineRule="auto"/>
        <w:rPr>
          <w:rFonts w:ascii="Times New Roman" w:eastAsia="Calibri" w:hAnsi="Times New Roman" w:cs="Times New Roman"/>
          <w:b/>
          <w:bCs/>
        </w:rPr>
      </w:pPr>
      <w:r w:rsidRPr="002124AF">
        <w:rPr>
          <w:rFonts w:ascii="Times New Roman" w:eastAsia="Calibri" w:hAnsi="Times New Roman" w:cs="Times New Roman"/>
          <w:b/>
          <w:bCs/>
        </w:rPr>
        <w:t>SEMINARAS DARBUOTOJAMS</w:t>
      </w:r>
    </w:p>
    <w:p w14:paraId="277F9858" w14:textId="40C4A8C3" w:rsidR="00896A16" w:rsidRPr="002124AF" w:rsidRDefault="00452DE4" w:rsidP="00FE6CCA">
      <w:pPr>
        <w:spacing w:after="120" w:line="240" w:lineRule="auto"/>
        <w:rPr>
          <w:rFonts w:ascii="Times New Roman" w:hAnsi="Times New Roman" w:cs="Times New Roman"/>
          <w:b/>
          <w:bCs/>
        </w:rPr>
      </w:pPr>
      <w:r w:rsidRPr="002124AF">
        <w:rPr>
          <w:rFonts w:ascii="Times New Roman" w:hAnsi="Times New Roman" w:cs="Times New Roman"/>
          <w:b/>
          <w:bCs/>
        </w:rPr>
        <w:t>„Nuo konteksto iki praktinių galimybių: dirbtinio intelekto naudojimo kompetencijos administraciniame darbe aukštojo mokslo institucijose“</w:t>
      </w:r>
    </w:p>
    <w:p w14:paraId="3940631F" w14:textId="77777777" w:rsidR="002124AF" w:rsidRPr="002124AF" w:rsidRDefault="002124AF" w:rsidP="00FE6CCA">
      <w:pPr>
        <w:spacing w:after="120" w:line="240" w:lineRule="auto"/>
        <w:rPr>
          <w:rFonts w:ascii="Times New Roman" w:hAnsi="Times New Roman" w:cs="Times New Roman"/>
        </w:rPr>
      </w:pPr>
    </w:p>
    <w:p w14:paraId="16E77D52" w14:textId="50613295" w:rsidR="002124AF" w:rsidRPr="002124AF" w:rsidRDefault="002124AF" w:rsidP="00FE6CCA">
      <w:pPr>
        <w:spacing w:after="120" w:line="240" w:lineRule="auto"/>
        <w:rPr>
          <w:rFonts w:ascii="Times New Roman" w:hAnsi="Times New Roman" w:cs="Times New Roman"/>
        </w:rPr>
      </w:pPr>
      <w:r w:rsidRPr="002124AF">
        <w:rPr>
          <w:rFonts w:ascii="Times New Roman" w:hAnsi="Times New Roman" w:cs="Times New Roman"/>
        </w:rPr>
        <w:t>Šiame seminare bus nagrinėjama, kaip sąmoninga dirbtinio intelekto (DI) integracija į aukštąjį mokslą priklauso ne tik nuo to, kas vyksta auditorijoje, bet ir nuo administracinius bei akademinius procesus aptarnaujančių darbuotojų kompetencijų, pasitikėjimo savimi ir kritinio sąmoningumo.</w:t>
      </w:r>
    </w:p>
    <w:p w14:paraId="4F72687C" w14:textId="77777777" w:rsidR="002124AF" w:rsidRPr="002124AF" w:rsidRDefault="002124AF" w:rsidP="00FE6CCA">
      <w:pPr>
        <w:spacing w:after="120" w:line="240" w:lineRule="auto"/>
        <w:rPr>
          <w:rFonts w:ascii="Times New Roman" w:hAnsi="Times New Roman" w:cs="Times New Roman"/>
        </w:rPr>
      </w:pPr>
      <w:r w:rsidRPr="002124AF">
        <w:rPr>
          <w:rFonts w:ascii="Times New Roman" w:hAnsi="Times New Roman" w:cs="Times New Roman"/>
        </w:rPr>
        <w:t xml:space="preserve">Seminare bus aptariami du instituciniai kontekstai – </w:t>
      </w:r>
      <w:proofErr w:type="spellStart"/>
      <w:r w:rsidRPr="002124AF">
        <w:rPr>
          <w:rFonts w:ascii="Times New Roman" w:hAnsi="Times New Roman" w:cs="Times New Roman"/>
        </w:rPr>
        <w:t>Stelenbošo</w:t>
      </w:r>
      <w:proofErr w:type="spellEnd"/>
      <w:r w:rsidRPr="002124AF">
        <w:rPr>
          <w:rFonts w:ascii="Times New Roman" w:hAnsi="Times New Roman" w:cs="Times New Roman"/>
        </w:rPr>
        <w:t xml:space="preserve"> universitetas (Pietų Afrika) ir Kauno technologijos universitetas (Lietuva). Nors šie kontekstai reikšmingai skiriasi kultūriniu, socialiniu ir instituciniu požiūriais, abu susiduria su tuo pačiu esminiu klausimu: ką reiškia dirbti su DI apgalvotai, etiškai ir atsakingai aukštojo mokslo aplinkoje?</w:t>
      </w:r>
    </w:p>
    <w:p w14:paraId="5F59CECD" w14:textId="77777777" w:rsidR="002124AF" w:rsidRPr="002124AF" w:rsidRDefault="002124AF" w:rsidP="00FE6CCA">
      <w:pPr>
        <w:spacing w:after="120" w:line="240" w:lineRule="auto"/>
        <w:rPr>
          <w:rFonts w:ascii="Times New Roman" w:hAnsi="Times New Roman" w:cs="Times New Roman"/>
        </w:rPr>
      </w:pPr>
      <w:r w:rsidRPr="002124AF">
        <w:rPr>
          <w:rFonts w:ascii="Times New Roman" w:hAnsi="Times New Roman" w:cs="Times New Roman"/>
        </w:rPr>
        <w:t>Seminaras grindžiamas dialogo principu – Pietų Afrikos patirtis pasitelkiama kaip refleksijos prizmė, galinti atskleisti vertingų įžvalgų KTU kontekstui, ir atvirkščiai. Užsiėmimo metu bus pereinama nuo platesnio konteksto ir konceptualių prieigų prie praktinių pavyzdžių bei patirčių, nagrinėjant, kaip didieji kalbos modeliai gali padėti efektyvinti ir praturtinti kasdienį administracinį darbą.</w:t>
      </w:r>
    </w:p>
    <w:p w14:paraId="0FE7B54B" w14:textId="3BDE6F1F" w:rsidR="00896A16" w:rsidRPr="002124AF" w:rsidRDefault="00896A16" w:rsidP="00FE6CCA">
      <w:pPr>
        <w:spacing w:after="120" w:line="240" w:lineRule="auto"/>
        <w:rPr>
          <w:rFonts w:ascii="Times New Roman" w:hAnsi="Times New Roman" w:cs="Times New Roman"/>
          <w:b/>
          <w:bCs/>
        </w:rPr>
      </w:pPr>
      <w:r w:rsidRPr="002124AF">
        <w:rPr>
          <w:rFonts w:ascii="Times New Roman" w:hAnsi="Times New Roman" w:cs="Times New Roman"/>
          <w:b/>
          <w:bCs/>
        </w:rPr>
        <w:t>Sesijos tikslai</w:t>
      </w:r>
    </w:p>
    <w:p w14:paraId="4722A5F5" w14:textId="219C98EE" w:rsidR="00896A16" w:rsidRPr="002124AF" w:rsidRDefault="00896A16" w:rsidP="00FE6CCA">
      <w:pPr>
        <w:spacing w:after="120" w:line="240" w:lineRule="auto"/>
        <w:rPr>
          <w:rFonts w:ascii="Times New Roman" w:hAnsi="Times New Roman" w:cs="Times New Roman"/>
        </w:rPr>
      </w:pPr>
      <w:r w:rsidRPr="002124AF">
        <w:rPr>
          <w:rFonts w:ascii="Times New Roman" w:hAnsi="Times New Roman" w:cs="Times New Roman"/>
        </w:rPr>
        <w:t>1. D</w:t>
      </w:r>
      <w:r w:rsidR="00A7638E" w:rsidRPr="002124AF">
        <w:rPr>
          <w:rFonts w:ascii="Times New Roman" w:hAnsi="Times New Roman" w:cs="Times New Roman"/>
        </w:rPr>
        <w:t>I</w:t>
      </w:r>
      <w:r w:rsidRPr="002124AF">
        <w:rPr>
          <w:rFonts w:ascii="Times New Roman" w:hAnsi="Times New Roman" w:cs="Times New Roman"/>
        </w:rPr>
        <w:t xml:space="preserve"> taikymo mokym</w:t>
      </w:r>
      <w:r w:rsidR="00477D3F" w:rsidRPr="002124AF">
        <w:rPr>
          <w:rFonts w:ascii="Times New Roman" w:hAnsi="Times New Roman" w:cs="Times New Roman"/>
        </w:rPr>
        <w:t>o</w:t>
      </w:r>
      <w:r w:rsidRPr="002124AF">
        <w:rPr>
          <w:rFonts w:ascii="Times New Roman" w:hAnsi="Times New Roman" w:cs="Times New Roman"/>
        </w:rPr>
        <w:t xml:space="preserve"> ir mokym</w:t>
      </w:r>
      <w:r w:rsidR="00477D3F" w:rsidRPr="002124AF">
        <w:rPr>
          <w:rFonts w:ascii="Times New Roman" w:hAnsi="Times New Roman" w:cs="Times New Roman"/>
        </w:rPr>
        <w:t>osi procesuose</w:t>
      </w:r>
      <w:r w:rsidRPr="002124AF">
        <w:rPr>
          <w:rFonts w:ascii="Times New Roman" w:hAnsi="Times New Roman" w:cs="Times New Roman"/>
        </w:rPr>
        <w:t xml:space="preserve"> </w:t>
      </w:r>
      <w:proofErr w:type="spellStart"/>
      <w:r w:rsidRPr="002124AF">
        <w:rPr>
          <w:rFonts w:ascii="Times New Roman" w:hAnsi="Times New Roman" w:cs="Times New Roman"/>
        </w:rPr>
        <w:t>kontekstualizavimas</w:t>
      </w:r>
      <w:proofErr w:type="spellEnd"/>
      <w:r w:rsidRPr="002124AF">
        <w:rPr>
          <w:rFonts w:ascii="Times New Roman" w:hAnsi="Times New Roman" w:cs="Times New Roman"/>
        </w:rPr>
        <w:t xml:space="preserve"> </w:t>
      </w:r>
      <w:r w:rsidR="00477D3F" w:rsidRPr="002124AF">
        <w:rPr>
          <w:rFonts w:ascii="Times New Roman" w:hAnsi="Times New Roman" w:cs="Times New Roman"/>
        </w:rPr>
        <w:t xml:space="preserve">pagal </w:t>
      </w:r>
      <w:r w:rsidRPr="002124AF">
        <w:rPr>
          <w:rFonts w:ascii="Times New Roman" w:hAnsi="Times New Roman" w:cs="Times New Roman"/>
        </w:rPr>
        <w:t>Globaliųjų Pietų (</w:t>
      </w:r>
      <w:r w:rsidRPr="002124AF">
        <w:rPr>
          <w:rFonts w:ascii="Times New Roman" w:hAnsi="Times New Roman" w:cs="Times New Roman"/>
          <w:i/>
          <w:iCs/>
        </w:rPr>
        <w:t>Global South</w:t>
      </w:r>
      <w:r w:rsidRPr="002124AF">
        <w:rPr>
          <w:rFonts w:ascii="Times New Roman" w:hAnsi="Times New Roman" w:cs="Times New Roman"/>
        </w:rPr>
        <w:t>)</w:t>
      </w:r>
      <w:r w:rsidR="00477D3F" w:rsidRPr="002124AF">
        <w:rPr>
          <w:rFonts w:ascii="Times New Roman" w:hAnsi="Times New Roman" w:cs="Times New Roman"/>
        </w:rPr>
        <w:t xml:space="preserve"> sampratą.</w:t>
      </w:r>
    </w:p>
    <w:p w14:paraId="17458C30" w14:textId="38CC47B0" w:rsidR="00896A16" w:rsidRPr="002124AF" w:rsidRDefault="00896A16" w:rsidP="00FE6CCA">
      <w:pPr>
        <w:spacing w:after="120" w:line="240" w:lineRule="auto"/>
        <w:rPr>
          <w:rFonts w:ascii="Times New Roman" w:hAnsi="Times New Roman" w:cs="Times New Roman"/>
        </w:rPr>
      </w:pPr>
      <w:r w:rsidRPr="002124AF">
        <w:rPr>
          <w:rFonts w:ascii="Times New Roman" w:hAnsi="Times New Roman" w:cs="Times New Roman"/>
        </w:rPr>
        <w:t xml:space="preserve">2. </w:t>
      </w:r>
      <w:r w:rsidR="001913F6" w:rsidRPr="002124AF">
        <w:rPr>
          <w:rFonts w:ascii="Times New Roman" w:hAnsi="Times New Roman" w:cs="Times New Roman"/>
        </w:rPr>
        <w:t>D</w:t>
      </w:r>
      <w:r w:rsidR="00A7638E" w:rsidRPr="002124AF">
        <w:rPr>
          <w:rFonts w:ascii="Times New Roman" w:hAnsi="Times New Roman" w:cs="Times New Roman"/>
        </w:rPr>
        <w:t>I</w:t>
      </w:r>
      <w:r w:rsidR="001913F6" w:rsidRPr="002124AF">
        <w:rPr>
          <w:rFonts w:ascii="Times New Roman" w:hAnsi="Times New Roman" w:cs="Times New Roman"/>
        </w:rPr>
        <w:t xml:space="preserve"> raštingumo kompetencijų ugdymas kaip pagrindas kritiškam generatyvinio </w:t>
      </w:r>
      <w:r w:rsidR="00A7638E" w:rsidRPr="002124AF">
        <w:rPr>
          <w:rFonts w:ascii="Times New Roman" w:hAnsi="Times New Roman" w:cs="Times New Roman"/>
        </w:rPr>
        <w:t>DI</w:t>
      </w:r>
      <w:r w:rsidR="001913F6" w:rsidRPr="002124AF">
        <w:rPr>
          <w:rFonts w:ascii="Times New Roman" w:hAnsi="Times New Roman" w:cs="Times New Roman"/>
        </w:rPr>
        <w:t xml:space="preserve"> įrankių taikymui įvairiuose instituciniuose kontekstuose.</w:t>
      </w:r>
    </w:p>
    <w:p w14:paraId="0E48B12B" w14:textId="7BCB71E8" w:rsidR="001913F6" w:rsidRPr="002124AF" w:rsidRDefault="00A7638E" w:rsidP="00FE6CCA">
      <w:pPr>
        <w:spacing w:after="120" w:line="240" w:lineRule="auto"/>
        <w:rPr>
          <w:rFonts w:ascii="Times New Roman" w:hAnsi="Times New Roman" w:cs="Times New Roman"/>
        </w:rPr>
      </w:pPr>
      <w:r w:rsidRPr="002124AF">
        <w:rPr>
          <w:rFonts w:ascii="Times New Roman" w:hAnsi="Times New Roman" w:cs="Times New Roman"/>
        </w:rPr>
        <w:t>3</w:t>
      </w:r>
      <w:r w:rsidR="001913F6" w:rsidRPr="002124AF">
        <w:rPr>
          <w:rFonts w:ascii="Times New Roman" w:hAnsi="Times New Roman" w:cs="Times New Roman"/>
        </w:rPr>
        <w:t>.</w:t>
      </w:r>
      <w:r w:rsidRPr="002124AF">
        <w:rPr>
          <w:rFonts w:ascii="Times New Roman" w:hAnsi="Times New Roman" w:cs="Times New Roman"/>
        </w:rPr>
        <w:t xml:space="preserve"> Generatyvinio DI praktinių galimybių administracinėms užduotims tyrinėjimas per praktiką.</w:t>
      </w:r>
    </w:p>
    <w:tbl>
      <w:tblPr>
        <w:tblStyle w:val="TableGrid"/>
        <w:tblW w:w="0" w:type="auto"/>
        <w:tblLook w:val="04A0" w:firstRow="1" w:lastRow="0" w:firstColumn="1" w:lastColumn="0" w:noHBand="0" w:noVBand="1"/>
      </w:tblPr>
      <w:tblGrid>
        <w:gridCol w:w="9016"/>
      </w:tblGrid>
      <w:tr w:rsidR="002124AF" w:rsidRPr="002124AF" w14:paraId="514BFE5B" w14:textId="77777777" w:rsidTr="002124AF">
        <w:tc>
          <w:tcPr>
            <w:tcW w:w="9016" w:type="dxa"/>
          </w:tcPr>
          <w:p w14:paraId="08DED078" w14:textId="77777777" w:rsidR="002124AF" w:rsidRPr="002124AF" w:rsidRDefault="002124AF" w:rsidP="00FE6CCA">
            <w:pPr>
              <w:spacing w:after="120"/>
              <w:rPr>
                <w:rFonts w:ascii="Times New Roman" w:eastAsia="Calibri" w:hAnsi="Times New Roman" w:cs="Times New Roman"/>
                <w:b/>
                <w:bCs/>
              </w:rPr>
            </w:pPr>
            <w:r w:rsidRPr="002124AF">
              <w:rPr>
                <w:rFonts w:ascii="Times New Roman" w:eastAsia="Calibri" w:hAnsi="Times New Roman" w:cs="Times New Roman"/>
                <w:b/>
                <w:bCs/>
              </w:rPr>
              <w:t>1 dalis: Įvadas į kontekstą</w:t>
            </w:r>
          </w:p>
          <w:p w14:paraId="66F02FC8" w14:textId="77777777" w:rsidR="002124AF" w:rsidRPr="002124AF" w:rsidRDefault="002124AF" w:rsidP="00FE6CCA">
            <w:pPr>
              <w:spacing w:after="120"/>
              <w:rPr>
                <w:rFonts w:ascii="Times New Roman" w:eastAsia="Calibri" w:hAnsi="Times New Roman" w:cs="Times New Roman"/>
              </w:rPr>
            </w:pPr>
            <w:r w:rsidRPr="002124AF">
              <w:rPr>
                <w:rFonts w:ascii="Times New Roman" w:eastAsia="Calibri" w:hAnsi="Times New Roman" w:cs="Times New Roman"/>
              </w:rPr>
              <w:t xml:space="preserve">Mokymosi technologijų centro, </w:t>
            </w:r>
            <w:proofErr w:type="spellStart"/>
            <w:r w:rsidRPr="002124AF">
              <w:rPr>
                <w:rFonts w:ascii="Times New Roman" w:eastAsia="Calibri" w:hAnsi="Times New Roman" w:cs="Times New Roman"/>
              </w:rPr>
              <w:t>Stelenbošo</w:t>
            </w:r>
            <w:proofErr w:type="spellEnd"/>
            <w:r w:rsidRPr="002124AF">
              <w:rPr>
                <w:rFonts w:ascii="Times New Roman" w:eastAsia="Calibri" w:hAnsi="Times New Roman" w:cs="Times New Roman"/>
              </w:rPr>
              <w:t xml:space="preserve"> universiteto ir P. Afrikos Respublikos, konteksto pristatymas bei supažindinimas su „Afrikos aukštojo mokslo ekstremaliųjų situacijų tinklo“ („</w:t>
            </w:r>
            <w:proofErr w:type="spellStart"/>
            <w:r w:rsidRPr="002124AF">
              <w:rPr>
                <w:rFonts w:ascii="Times New Roman" w:eastAsia="Calibri" w:hAnsi="Times New Roman" w:cs="Times New Roman"/>
              </w:rPr>
              <w:t>African</w:t>
            </w:r>
            <w:proofErr w:type="spellEnd"/>
            <w:r w:rsidRPr="002124AF">
              <w:rPr>
                <w:rFonts w:ascii="Times New Roman" w:eastAsia="Calibri" w:hAnsi="Times New Roman" w:cs="Times New Roman"/>
              </w:rPr>
              <w:t xml:space="preserve"> </w:t>
            </w:r>
            <w:proofErr w:type="spellStart"/>
            <w:r w:rsidRPr="002124AF">
              <w:rPr>
                <w:rFonts w:ascii="Times New Roman" w:eastAsia="Calibri" w:hAnsi="Times New Roman" w:cs="Times New Roman"/>
              </w:rPr>
              <w:t>Higher</w:t>
            </w:r>
            <w:proofErr w:type="spellEnd"/>
            <w:r w:rsidRPr="002124AF">
              <w:rPr>
                <w:rFonts w:ascii="Times New Roman" w:eastAsia="Calibri" w:hAnsi="Times New Roman" w:cs="Times New Roman"/>
              </w:rPr>
              <w:t xml:space="preserve"> </w:t>
            </w:r>
            <w:proofErr w:type="spellStart"/>
            <w:r w:rsidRPr="002124AF">
              <w:rPr>
                <w:rFonts w:ascii="Times New Roman" w:eastAsia="Calibri" w:hAnsi="Times New Roman" w:cs="Times New Roman"/>
              </w:rPr>
              <w:t>Education</w:t>
            </w:r>
            <w:proofErr w:type="spellEnd"/>
            <w:r w:rsidRPr="002124AF">
              <w:rPr>
                <w:rFonts w:ascii="Times New Roman" w:eastAsia="Calibri" w:hAnsi="Times New Roman" w:cs="Times New Roman"/>
              </w:rPr>
              <w:t xml:space="preserve"> </w:t>
            </w:r>
            <w:proofErr w:type="spellStart"/>
            <w:r w:rsidRPr="002124AF">
              <w:rPr>
                <w:rFonts w:ascii="Times New Roman" w:eastAsia="Calibri" w:hAnsi="Times New Roman" w:cs="Times New Roman"/>
              </w:rPr>
              <w:t>in</w:t>
            </w:r>
            <w:proofErr w:type="spellEnd"/>
            <w:r w:rsidRPr="002124AF">
              <w:rPr>
                <w:rFonts w:ascii="Times New Roman" w:eastAsia="Calibri" w:hAnsi="Times New Roman" w:cs="Times New Roman"/>
              </w:rPr>
              <w:t xml:space="preserve"> </w:t>
            </w:r>
            <w:proofErr w:type="spellStart"/>
            <w:r w:rsidRPr="002124AF">
              <w:rPr>
                <w:rFonts w:ascii="Times New Roman" w:eastAsia="Calibri" w:hAnsi="Times New Roman" w:cs="Times New Roman"/>
              </w:rPr>
              <w:t>Emergencies</w:t>
            </w:r>
            <w:proofErr w:type="spellEnd"/>
            <w:r w:rsidRPr="002124AF">
              <w:rPr>
                <w:rFonts w:ascii="Times New Roman" w:eastAsia="Calibri" w:hAnsi="Times New Roman" w:cs="Times New Roman"/>
              </w:rPr>
              <w:t xml:space="preserve"> Network“ (AHEEN)) veikla.</w:t>
            </w:r>
          </w:p>
          <w:p w14:paraId="710E6BD7" w14:textId="3C8BE8FB" w:rsidR="002124AF" w:rsidRPr="002124AF" w:rsidRDefault="002124AF" w:rsidP="00FE6CCA">
            <w:pPr>
              <w:spacing w:after="120"/>
              <w:rPr>
                <w:rFonts w:ascii="Times New Roman" w:hAnsi="Times New Roman" w:cs="Times New Roman"/>
              </w:rPr>
            </w:pPr>
            <w:proofErr w:type="spellStart"/>
            <w:r w:rsidRPr="002124AF">
              <w:rPr>
                <w:rFonts w:ascii="Times New Roman" w:eastAsia="Calibri" w:hAnsi="Times New Roman" w:cs="Times New Roman"/>
              </w:rPr>
              <w:t>Daugiakultūriškumo</w:t>
            </w:r>
            <w:proofErr w:type="spellEnd"/>
            <w:r w:rsidRPr="002124AF">
              <w:rPr>
                <w:rFonts w:ascii="Times New Roman" w:eastAsia="Calibri" w:hAnsi="Times New Roman" w:cs="Times New Roman"/>
              </w:rPr>
              <w:t>, daugiakalbystės ir įtraukties aspektų aptarimas.</w:t>
            </w:r>
          </w:p>
        </w:tc>
      </w:tr>
      <w:tr w:rsidR="002124AF" w:rsidRPr="002124AF" w14:paraId="55272F0D" w14:textId="77777777" w:rsidTr="002124AF">
        <w:tc>
          <w:tcPr>
            <w:tcW w:w="9016" w:type="dxa"/>
          </w:tcPr>
          <w:p w14:paraId="0F8E8677" w14:textId="77777777" w:rsidR="002124AF" w:rsidRPr="002124AF" w:rsidRDefault="002124AF" w:rsidP="00FE6CCA">
            <w:pPr>
              <w:spacing w:after="120"/>
              <w:rPr>
                <w:rFonts w:ascii="Times New Roman" w:eastAsia="Calibri" w:hAnsi="Times New Roman" w:cs="Times New Roman"/>
                <w:b/>
                <w:bCs/>
              </w:rPr>
            </w:pPr>
            <w:r w:rsidRPr="002124AF">
              <w:rPr>
                <w:rFonts w:ascii="Times New Roman" w:eastAsia="Calibri" w:hAnsi="Times New Roman" w:cs="Times New Roman"/>
                <w:b/>
                <w:bCs/>
              </w:rPr>
              <w:t>2 dalis. DI raštingumas administracijos darbuotojams</w:t>
            </w:r>
          </w:p>
          <w:p w14:paraId="69C935BB" w14:textId="77777777" w:rsidR="002124AF" w:rsidRPr="002124AF" w:rsidRDefault="002124AF" w:rsidP="00FE6CCA">
            <w:pPr>
              <w:spacing w:after="120"/>
              <w:rPr>
                <w:rFonts w:ascii="Times New Roman" w:hAnsi="Times New Roman" w:cs="Times New Roman"/>
              </w:rPr>
            </w:pPr>
            <w:r w:rsidRPr="002124AF">
              <w:rPr>
                <w:rFonts w:ascii="Times New Roman" w:hAnsi="Times New Roman" w:cs="Times New Roman"/>
              </w:rPr>
              <w:t>• Įvadas į generatyvinio DI raštingumo sampratą.</w:t>
            </w:r>
          </w:p>
          <w:p w14:paraId="671F311B" w14:textId="77777777" w:rsidR="002124AF" w:rsidRPr="002124AF" w:rsidRDefault="002124AF" w:rsidP="00FE6CCA">
            <w:pPr>
              <w:spacing w:after="120"/>
              <w:rPr>
                <w:rFonts w:ascii="Times New Roman" w:hAnsi="Times New Roman" w:cs="Times New Roman"/>
              </w:rPr>
            </w:pPr>
            <w:r w:rsidRPr="002124AF">
              <w:rPr>
                <w:rFonts w:ascii="Times New Roman" w:hAnsi="Times New Roman" w:cs="Times New Roman"/>
              </w:rPr>
              <w:t>• Generatyvinio DI galimybių ir ribotumų aptarimas: ką jis gali ir ko negali atlikti?</w:t>
            </w:r>
          </w:p>
          <w:p w14:paraId="6B69CE96" w14:textId="5E75B7D5" w:rsidR="002124AF" w:rsidRPr="002124AF" w:rsidRDefault="002124AF" w:rsidP="00FE6CCA">
            <w:pPr>
              <w:spacing w:after="120"/>
              <w:rPr>
                <w:rFonts w:ascii="Times New Roman" w:hAnsi="Times New Roman" w:cs="Times New Roman"/>
              </w:rPr>
            </w:pPr>
            <w:r w:rsidRPr="002124AF">
              <w:rPr>
                <w:rFonts w:ascii="Times New Roman" w:hAnsi="Times New Roman" w:cs="Times New Roman"/>
              </w:rPr>
              <w:t>• Lygybės, šališkumo ir kalbinių aspektų aptarimas naudojant generatyvinio DI įrankius, atsižvelgiant į daugiakalbę realybę abiejų universitetų kontekstuose.</w:t>
            </w:r>
          </w:p>
        </w:tc>
      </w:tr>
      <w:tr w:rsidR="002124AF" w:rsidRPr="002124AF" w14:paraId="7D9A5976" w14:textId="77777777" w:rsidTr="002124AF">
        <w:tc>
          <w:tcPr>
            <w:tcW w:w="9016" w:type="dxa"/>
          </w:tcPr>
          <w:p w14:paraId="09A045B4" w14:textId="77777777" w:rsidR="002124AF" w:rsidRPr="002124AF" w:rsidRDefault="002124AF" w:rsidP="00FE6CCA">
            <w:pPr>
              <w:pStyle w:val="isselectedend"/>
              <w:spacing w:before="0" w:beforeAutospacing="0" w:after="120" w:afterAutospacing="0"/>
              <w:rPr>
                <w:sz w:val="22"/>
                <w:szCs w:val="22"/>
              </w:rPr>
            </w:pPr>
            <w:r w:rsidRPr="002124AF">
              <w:rPr>
                <w:rStyle w:val="Strong"/>
                <w:sz w:val="22"/>
                <w:szCs w:val="22"/>
              </w:rPr>
              <w:t>3 dalis. Praktinis generatyvinio DI taikymas kasdienėje administracinėje veikloje</w:t>
            </w:r>
          </w:p>
          <w:p w14:paraId="649ED2D8" w14:textId="77777777" w:rsidR="002124AF" w:rsidRPr="002124AF" w:rsidRDefault="002124AF" w:rsidP="00FE6CCA">
            <w:pPr>
              <w:pStyle w:val="NormalWeb"/>
              <w:spacing w:before="0" w:beforeAutospacing="0" w:after="120" w:afterAutospacing="0"/>
              <w:rPr>
                <w:sz w:val="22"/>
                <w:szCs w:val="22"/>
              </w:rPr>
            </w:pPr>
            <w:r w:rsidRPr="002124AF">
              <w:rPr>
                <w:sz w:val="22"/>
                <w:szCs w:val="22"/>
              </w:rPr>
              <w:t>• Trumpa pasirinktų didžiųjų kalbos modelių apžvalga ir jų pagrindinių galimybių, aktualių administraciniam darbui, pristatymas.</w:t>
            </w:r>
          </w:p>
          <w:p w14:paraId="5B44E88D" w14:textId="244A5791" w:rsidR="002124AF" w:rsidRPr="002124AF" w:rsidRDefault="002124AF" w:rsidP="00FE6CCA">
            <w:pPr>
              <w:pStyle w:val="NormalWeb"/>
              <w:spacing w:before="0" w:beforeAutospacing="0" w:after="120" w:afterAutospacing="0"/>
              <w:rPr>
                <w:sz w:val="22"/>
                <w:szCs w:val="22"/>
              </w:rPr>
            </w:pPr>
            <w:r w:rsidRPr="002124AF">
              <w:rPr>
                <w:sz w:val="22"/>
                <w:szCs w:val="22"/>
              </w:rPr>
              <w:t>• Praktinis susipažinimas su generatyvinio DI taikymu analizuojant konkrečius praktinius atvejus.</w:t>
            </w:r>
          </w:p>
        </w:tc>
      </w:tr>
    </w:tbl>
    <w:p w14:paraId="46DDBBC1" w14:textId="77777777" w:rsidR="002124AF" w:rsidRPr="002124AF" w:rsidRDefault="002124AF" w:rsidP="00FE6CCA">
      <w:pPr>
        <w:spacing w:after="120" w:line="240" w:lineRule="auto"/>
        <w:rPr>
          <w:rFonts w:ascii="Times New Roman" w:hAnsi="Times New Roman" w:cs="Times New Roman"/>
        </w:rPr>
      </w:pPr>
    </w:p>
    <w:p w14:paraId="0476AC55" w14:textId="619EE778" w:rsidR="00896A16" w:rsidRPr="002124AF" w:rsidRDefault="00896A16" w:rsidP="00FE6CCA">
      <w:pPr>
        <w:spacing w:after="120" w:line="240" w:lineRule="auto"/>
        <w:rPr>
          <w:rFonts w:ascii="Times New Roman" w:eastAsia="Calibri" w:hAnsi="Times New Roman" w:cs="Times New Roman"/>
          <w:b/>
          <w:bCs/>
        </w:rPr>
      </w:pPr>
    </w:p>
    <w:sectPr w:rsidR="00896A16" w:rsidRPr="002124A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548"/>
    <w:multiLevelType w:val="multilevel"/>
    <w:tmpl w:val="6F08E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A50618"/>
    <w:multiLevelType w:val="hybridMultilevel"/>
    <w:tmpl w:val="F224CE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DA45F9"/>
    <w:multiLevelType w:val="hybridMultilevel"/>
    <w:tmpl w:val="B3729462"/>
    <w:lvl w:ilvl="0" w:tplc="04F8EC9A">
      <w:start w:val="1"/>
      <w:numFmt w:val="bullet"/>
      <w:lvlText w:val="·"/>
      <w:lvlJc w:val="left"/>
      <w:pPr>
        <w:ind w:left="720" w:hanging="360"/>
      </w:pPr>
      <w:rPr>
        <w:rFonts w:ascii="Symbol" w:hAnsi="Symbol" w:hint="default"/>
      </w:rPr>
    </w:lvl>
    <w:lvl w:ilvl="1" w:tplc="8B42E464">
      <w:start w:val="1"/>
      <w:numFmt w:val="bullet"/>
      <w:lvlText w:val="o"/>
      <w:lvlJc w:val="left"/>
      <w:pPr>
        <w:ind w:left="1440" w:hanging="360"/>
      </w:pPr>
      <w:rPr>
        <w:rFonts w:ascii="Courier New" w:hAnsi="Courier New" w:hint="default"/>
      </w:rPr>
    </w:lvl>
    <w:lvl w:ilvl="2" w:tplc="7E48187C">
      <w:start w:val="1"/>
      <w:numFmt w:val="bullet"/>
      <w:lvlText w:val=""/>
      <w:lvlJc w:val="left"/>
      <w:pPr>
        <w:ind w:left="2160" w:hanging="360"/>
      </w:pPr>
      <w:rPr>
        <w:rFonts w:ascii="Wingdings" w:hAnsi="Wingdings" w:hint="default"/>
      </w:rPr>
    </w:lvl>
    <w:lvl w:ilvl="3" w:tplc="B48CDA10">
      <w:start w:val="1"/>
      <w:numFmt w:val="bullet"/>
      <w:lvlText w:val=""/>
      <w:lvlJc w:val="left"/>
      <w:pPr>
        <w:ind w:left="2880" w:hanging="360"/>
      </w:pPr>
      <w:rPr>
        <w:rFonts w:ascii="Symbol" w:hAnsi="Symbol" w:hint="default"/>
      </w:rPr>
    </w:lvl>
    <w:lvl w:ilvl="4" w:tplc="517A0FD6">
      <w:start w:val="1"/>
      <w:numFmt w:val="bullet"/>
      <w:lvlText w:val="o"/>
      <w:lvlJc w:val="left"/>
      <w:pPr>
        <w:ind w:left="3600" w:hanging="360"/>
      </w:pPr>
      <w:rPr>
        <w:rFonts w:ascii="Courier New" w:hAnsi="Courier New" w:hint="default"/>
      </w:rPr>
    </w:lvl>
    <w:lvl w:ilvl="5" w:tplc="00783FB0">
      <w:start w:val="1"/>
      <w:numFmt w:val="bullet"/>
      <w:lvlText w:val=""/>
      <w:lvlJc w:val="left"/>
      <w:pPr>
        <w:ind w:left="4320" w:hanging="360"/>
      </w:pPr>
      <w:rPr>
        <w:rFonts w:ascii="Wingdings" w:hAnsi="Wingdings" w:hint="default"/>
      </w:rPr>
    </w:lvl>
    <w:lvl w:ilvl="6" w:tplc="BA74A790">
      <w:start w:val="1"/>
      <w:numFmt w:val="bullet"/>
      <w:lvlText w:val=""/>
      <w:lvlJc w:val="left"/>
      <w:pPr>
        <w:ind w:left="5040" w:hanging="360"/>
      </w:pPr>
      <w:rPr>
        <w:rFonts w:ascii="Symbol" w:hAnsi="Symbol" w:hint="default"/>
      </w:rPr>
    </w:lvl>
    <w:lvl w:ilvl="7" w:tplc="E5E089A0">
      <w:start w:val="1"/>
      <w:numFmt w:val="bullet"/>
      <w:lvlText w:val="o"/>
      <w:lvlJc w:val="left"/>
      <w:pPr>
        <w:ind w:left="5760" w:hanging="360"/>
      </w:pPr>
      <w:rPr>
        <w:rFonts w:ascii="Courier New" w:hAnsi="Courier New" w:hint="default"/>
      </w:rPr>
    </w:lvl>
    <w:lvl w:ilvl="8" w:tplc="304E6AEE">
      <w:start w:val="1"/>
      <w:numFmt w:val="bullet"/>
      <w:lvlText w:val=""/>
      <w:lvlJc w:val="left"/>
      <w:pPr>
        <w:ind w:left="6480" w:hanging="360"/>
      </w:pPr>
      <w:rPr>
        <w:rFonts w:ascii="Wingdings" w:hAnsi="Wingdings" w:hint="default"/>
      </w:rPr>
    </w:lvl>
  </w:abstractNum>
  <w:abstractNum w:abstractNumId="3" w15:restartNumberingAfterBreak="0">
    <w:nsid w:val="6D0C3A31"/>
    <w:multiLevelType w:val="hybridMultilevel"/>
    <w:tmpl w:val="731EB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1613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753607">
    <w:abstractNumId w:val="2"/>
  </w:num>
  <w:num w:numId="3" w16cid:durableId="1507935104">
    <w:abstractNumId w:val="3"/>
  </w:num>
  <w:num w:numId="4" w16cid:durableId="213138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73"/>
    <w:rsid w:val="000371A2"/>
    <w:rsid w:val="001913F6"/>
    <w:rsid w:val="002124AF"/>
    <w:rsid w:val="004202F2"/>
    <w:rsid w:val="00452DE4"/>
    <w:rsid w:val="00477D3F"/>
    <w:rsid w:val="005D1802"/>
    <w:rsid w:val="00896A16"/>
    <w:rsid w:val="00A7638E"/>
    <w:rsid w:val="00B71A69"/>
    <w:rsid w:val="00B73773"/>
    <w:rsid w:val="00FE6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B27A"/>
  <w15:chartTrackingRefBased/>
  <w15:docId w15:val="{6E94A7E1-F429-4F1B-B4D1-3D321E4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0371A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0371A2"/>
    <w:rPr>
      <w:b/>
      <w:bCs/>
    </w:rPr>
  </w:style>
  <w:style w:type="paragraph" w:styleId="NormalWeb">
    <w:name w:val="Normal (Web)"/>
    <w:basedOn w:val="Normal"/>
    <w:uiPriority w:val="99"/>
    <w:unhideWhenUsed/>
    <w:rsid w:val="000371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2124AF"/>
    <w:pPr>
      <w:ind w:left="720"/>
      <w:contextualSpacing/>
    </w:pPr>
  </w:style>
  <w:style w:type="table" w:styleId="TableGrid">
    <w:name w:val="Table Grid"/>
    <w:basedOn w:val="TableNormal"/>
    <w:uiPriority w:val="39"/>
    <w:rsid w:val="0021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22209">
      <w:bodyDiv w:val="1"/>
      <w:marLeft w:val="0"/>
      <w:marRight w:val="0"/>
      <w:marTop w:val="0"/>
      <w:marBottom w:val="0"/>
      <w:divBdr>
        <w:top w:val="none" w:sz="0" w:space="0" w:color="auto"/>
        <w:left w:val="none" w:sz="0" w:space="0" w:color="auto"/>
        <w:bottom w:val="none" w:sz="0" w:space="0" w:color="auto"/>
        <w:right w:val="none" w:sz="0" w:space="0" w:color="auto"/>
      </w:divBdr>
    </w:div>
    <w:div w:id="1021054375">
      <w:bodyDiv w:val="1"/>
      <w:marLeft w:val="0"/>
      <w:marRight w:val="0"/>
      <w:marTop w:val="0"/>
      <w:marBottom w:val="0"/>
      <w:divBdr>
        <w:top w:val="none" w:sz="0" w:space="0" w:color="auto"/>
        <w:left w:val="none" w:sz="0" w:space="0" w:color="auto"/>
        <w:bottom w:val="none" w:sz="0" w:space="0" w:color="auto"/>
        <w:right w:val="none" w:sz="0" w:space="0" w:color="auto"/>
      </w:divBdr>
    </w:div>
    <w:div w:id="16683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1643</Words>
  <Characters>937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Jankauskiene</dc:creator>
  <cp:keywords/>
  <dc:description/>
  <cp:lastModifiedBy>Gintarė Žukauskaitė</cp:lastModifiedBy>
  <cp:revision>2</cp:revision>
  <dcterms:created xsi:type="dcterms:W3CDTF">2026-05-14T08:33:00Z</dcterms:created>
  <dcterms:modified xsi:type="dcterms:W3CDTF">2026-05-15T07:47:00Z</dcterms:modified>
</cp:coreProperties>
</file>